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keepNext w:val="true"/>
        <w:jc w:val="center"/>
        <w:rPr>
          <w:sz w:val="20"/>
          <w:szCs w:val="20"/>
        </w:rPr>
      </w:pPr>
      <w:r>
        <w:rPr/>
        <w:drawing>
          <wp:inline distT="0" distB="0" distL="0" distR="0">
            <wp:extent cx="386080" cy="386080"/>
            <wp:effectExtent l="0" t="0" r="0" b="0"/>
            <wp:docPr id="1" name="Immagin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119" t="-119" r="-119" b="-1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80" cy="386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/>
      </w:pPr>
      <w:r>
        <w:rPr/>
        <w:t>ISTITUTO STATALE ISTRUZIONE SECONDARIA</w:t>
      </w:r>
    </w:p>
    <w:p>
      <w:pPr>
        <w:pStyle w:val="Normal"/>
        <w:jc w:val="center"/>
        <w:rPr/>
      </w:pPr>
      <w:r>
        <w:rPr>
          <w:b/>
          <w:bCs/>
        </w:rPr>
        <w:t>“</w:t>
      </w:r>
      <w:r>
        <w:rPr>
          <w:b/>
          <w:bCs/>
        </w:rPr>
        <w:t>Rita Levi Montalcini”</w:t>
      </w:r>
    </w:p>
    <w:p>
      <w:pPr>
        <w:pStyle w:val="Normal"/>
        <w:jc w:val="center"/>
        <w:rPr>
          <w:rFonts w:eastAsia="Times New Roman" w:cs="Calibri" w:cstheme="minorHAnsi"/>
          <w:b/>
          <w:b/>
          <w:bCs/>
          <w:color w:val="000000"/>
          <w:u w:val="single"/>
          <w:lang w:eastAsia="it-IT"/>
        </w:rPr>
      </w:pPr>
      <w:r>
        <w:rPr>
          <w:rFonts w:eastAsia="Times New Roman" w:cs="Calibri" w:cstheme="minorHAnsi"/>
          <w:b/>
          <w:bCs/>
          <w:color w:val="000000"/>
          <w:u w:val="single"/>
          <w:lang w:eastAsia="it-IT"/>
        </w:rPr>
      </w:r>
    </w:p>
    <w:p>
      <w:pPr>
        <w:pStyle w:val="Normal"/>
        <w:jc w:val="both"/>
        <w:rPr>
          <w:rFonts w:eastAsia="Times New Roman" w:cs="Calibri" w:cstheme="minorHAnsi"/>
          <w:color w:val="000000"/>
          <w:u w:val="single"/>
          <w:lang w:eastAsia="it-IT"/>
        </w:rPr>
      </w:pPr>
      <w:r>
        <w:rPr>
          <w:rFonts w:eastAsia="Times New Roman" w:cs="Calibri" w:cstheme="minorHAnsi"/>
          <w:color w:val="000000"/>
          <w:u w:val="single"/>
          <w:lang w:eastAsia="it-IT"/>
        </w:rPr>
      </w:r>
    </w:p>
    <w:p>
      <w:pPr>
        <w:pStyle w:val="Normal"/>
        <w:spacing w:lineRule="auto" w:line="276"/>
        <w:jc w:val="center"/>
        <w:rPr>
          <w:b/>
          <w:b/>
          <w:bCs/>
        </w:rPr>
      </w:pPr>
      <w:r>
        <w:rPr>
          <w:rFonts w:eastAsia="Times New Roman" w:cs="Calibri" w:cstheme="minorHAnsi"/>
          <w:b/>
          <w:bCs/>
          <w:color w:val="000000"/>
          <w:lang w:eastAsia="it-IT"/>
        </w:rPr>
        <w:t>Relazione dell’attività svolta dall’Animatore digitale nell’anno scolastico 2019/2020</w:t>
      </w:r>
    </w:p>
    <w:p>
      <w:pPr>
        <w:pStyle w:val="Normal"/>
        <w:spacing w:lineRule="auto" w:line="276"/>
        <w:jc w:val="both"/>
        <w:rPr>
          <w:rFonts w:eastAsia="Times New Roman" w:cs="Calibri" w:cstheme="minorHAnsi"/>
          <w:color w:val="000000"/>
          <w:lang w:eastAsia="it-IT"/>
        </w:rPr>
      </w:pPr>
      <w:r>
        <w:rPr>
          <w:rFonts w:eastAsia="Times New Roman" w:cs="Calibri" w:cstheme="minorHAnsi"/>
          <w:color w:val="000000"/>
          <w:lang w:eastAsia="it-IT"/>
        </w:rPr>
      </w:r>
    </w:p>
    <w:p>
      <w:pPr>
        <w:pStyle w:val="Normal"/>
        <w:spacing w:lineRule="auto" w:line="276"/>
        <w:jc w:val="both"/>
        <w:rPr/>
      </w:pPr>
      <w:r>
        <w:rPr>
          <w:rFonts w:eastAsia="Times New Roman" w:cs="Calibri" w:cstheme="minorHAnsi"/>
          <w:color w:val="000000"/>
          <w:lang w:eastAsia="it-IT"/>
        </w:rPr>
        <w:t xml:space="preserve">Le seguenti attività svolte sono tutte orientate ad ottenere un maggior  </w:t>
      </w:r>
      <w:r>
        <w:rPr>
          <w:rStyle w:val="Strong"/>
          <w:rFonts w:eastAsia="Times New Roman" w:cs="Calibri" w:cstheme="minorHAnsi"/>
          <w:b w:val="false"/>
          <w:bCs w:val="false"/>
          <w:color w:val="000000"/>
          <w:lang w:eastAsia="it-IT"/>
        </w:rPr>
        <w:t xml:space="preserve"> “</w:t>
      </w:r>
      <w:r>
        <w:rPr>
          <w:rStyle w:val="Strong"/>
          <w:rFonts w:eastAsia="Times New Roman" w:cs="Calibri" w:cstheme="minorHAnsi"/>
          <w:i/>
          <w:iCs/>
          <w:color w:val="000000"/>
          <w:u w:val="single"/>
          <w:lang w:eastAsia="it-IT"/>
        </w:rPr>
        <w:t>Coinvolgimento della comunità scolastica</w:t>
      </w:r>
      <w:r>
        <w:rPr>
          <w:rStyle w:val="Strong"/>
          <w:rFonts w:eastAsia="Times New Roman" w:cs="Calibri" w:cstheme="minorHAnsi"/>
          <w:b w:val="false"/>
          <w:bCs w:val="false"/>
          <w:i/>
          <w:iCs/>
          <w:color w:val="000000"/>
          <w:lang w:eastAsia="it-IT"/>
        </w:rPr>
        <w:t xml:space="preserve">”    ( </w:t>
      </w:r>
      <w:r>
        <w:rPr>
          <w:rStyle w:val="Enfasiforte"/>
          <w:rFonts w:eastAsia="Times New Roman" w:cs="Calibri" w:cstheme="minorHAnsi"/>
          <w:color w:val="000000"/>
          <w:sz w:val="26"/>
          <w:szCs w:val="26"/>
          <w:lang w:eastAsia="it-IT"/>
        </w:rPr>
        <w:t>2° azione del PNSD</w:t>
      </w:r>
      <w:r>
        <w:rPr>
          <w:rStyle w:val="Strong"/>
          <w:rFonts w:eastAsia="Times New Roman" w:cs="Calibri" w:cstheme="minorHAnsi"/>
          <w:b w:val="false"/>
          <w:bCs w:val="false"/>
          <w:i/>
          <w:iCs/>
          <w:color w:val="000000"/>
          <w:lang w:eastAsia="it-IT"/>
        </w:rPr>
        <w:t xml:space="preserve"> )</w:t>
      </w:r>
    </w:p>
    <w:p>
      <w:pPr>
        <w:pStyle w:val="Normal"/>
        <w:spacing w:lineRule="auto" w:line="276"/>
        <w:jc w:val="center"/>
        <w:rPr>
          <w:rFonts w:eastAsia="Times New Roman" w:cs="Calibri" w:cstheme="minorHAnsi"/>
          <w:color w:val="000000"/>
          <w:u w:val="single"/>
          <w:lang w:eastAsia="it-IT"/>
        </w:rPr>
      </w:pPr>
      <w:r>
        <w:rPr>
          <w:rFonts w:eastAsia="Times New Roman" w:cs="Calibri" w:cstheme="minorHAnsi"/>
          <w:color w:val="000000"/>
          <w:u w:val="single"/>
          <w:lang w:eastAsia="it-IT"/>
        </w:rPr>
      </w:r>
    </w:p>
    <w:p>
      <w:pPr>
        <w:pStyle w:val="Normal"/>
        <w:numPr>
          <w:ilvl w:val="0"/>
          <w:numId w:val="2"/>
        </w:numPr>
        <w:spacing w:lineRule="auto" w:line="276"/>
        <w:rPr>
          <w:b/>
          <w:b/>
        </w:rPr>
      </w:pPr>
      <w:r>
        <w:rPr>
          <w:rStyle w:val="Strong"/>
          <w:b w:val="false"/>
          <w:bCs w:val="false"/>
        </w:rPr>
        <w:t xml:space="preserve">Nell’ambito delle attività di </w:t>
      </w:r>
      <w:r>
        <w:rPr>
          <w:rStyle w:val="Strong"/>
        </w:rPr>
        <w:t>Coding</w:t>
      </w:r>
      <w:r>
        <w:rPr>
          <w:rStyle w:val="Strong"/>
          <w:b w:val="false"/>
          <w:bCs w:val="false"/>
        </w:rPr>
        <w:t xml:space="preserve"> (</w:t>
      </w:r>
      <w:r>
        <w:rPr>
          <w:rStyle w:val="Strong"/>
          <w:b w:val="false"/>
          <w:bCs w:val="false"/>
          <w:i/>
          <w:iCs/>
        </w:rPr>
        <w:t>Coinvolgimento della comunità scolastica</w:t>
      </w:r>
      <w:r>
        <w:rPr>
          <w:rStyle w:val="Strong"/>
          <w:b w:val="false"/>
          <w:bCs w:val="false"/>
        </w:rPr>
        <w:t xml:space="preserve">) partecipazione a CodeWeek: </w:t>
      </w:r>
    </w:p>
    <w:p>
      <w:pPr>
        <w:pStyle w:val="Normal"/>
        <w:spacing w:lineRule="auto" w:line="276"/>
        <w:ind w:left="720" w:hanging="0"/>
        <w:rPr>
          <w:b/>
          <w:b/>
        </w:rPr>
      </w:pPr>
      <w:r>
        <w:rPr>
          <w:rStyle w:val="Strong"/>
          <w:rFonts w:eastAsia="Times New Roman" w:cs="Calibri" w:cstheme="minorHAnsi"/>
          <w:color w:val="000000"/>
          <w:u w:val="single"/>
          <w:lang w:eastAsia="it-IT"/>
        </w:rPr>
        <w:t xml:space="preserve"> </w:t>
      </w:r>
      <w:r>
        <w:rPr>
          <w:rStyle w:val="Strong"/>
          <w:b w:val="false"/>
          <w:bCs w:val="false"/>
        </w:rPr>
        <w:t>G</w:t>
      </w:r>
      <w:r>
        <w:rPr>
          <w:rStyle w:val="Strong"/>
          <w:rFonts w:eastAsia="Times New Roman" w:cs="Calibri" w:cstheme="minorHAnsi"/>
          <w:b w:val="false"/>
          <w:bCs w:val="false"/>
          <w:color w:val="000000"/>
          <w:u w:val="single"/>
          <w:lang w:eastAsia="it-IT"/>
        </w:rPr>
        <w:t>iovedì 17 ottobre dalle ore 8:00 alle 1</w:t>
      </w:r>
      <w:r>
        <w:rPr>
          <w:rStyle w:val="Strong"/>
          <w:rFonts w:eastAsia="Times New Roman" w:cs="Calibri" w:cstheme="minorHAnsi"/>
          <w:b w:val="false"/>
          <w:bCs w:val="false"/>
          <w:color w:val="000000"/>
          <w:u w:val="single"/>
          <w:lang w:eastAsia="it-IT"/>
        </w:rPr>
        <w:t>0</w:t>
      </w:r>
      <w:r>
        <w:rPr>
          <w:rStyle w:val="Strong"/>
          <w:rFonts w:eastAsia="Times New Roman" w:cs="Calibri" w:cstheme="minorHAnsi"/>
          <w:b w:val="false"/>
          <w:bCs w:val="false"/>
          <w:color w:val="000000"/>
          <w:u w:val="single"/>
          <w:lang w:eastAsia="it-IT"/>
        </w:rPr>
        <w:t xml:space="preserve">:00  </w:t>
      </w:r>
      <w:r>
        <w:rPr>
          <w:rStyle w:val="Strong"/>
          <w:rFonts w:eastAsia="Times New Roman" w:cs="Calibri" w:cstheme="minorHAnsi"/>
          <w:b w:val="false"/>
          <w:bCs w:val="false"/>
          <w:color w:val="000000"/>
          <w:u w:val="single"/>
          <w:lang w:eastAsia="it-IT"/>
        </w:rPr>
        <w:t>e poi dalle 14:00 alle 15:00</w:t>
      </w:r>
      <w:r>
        <w:rPr>
          <w:rStyle w:val="Strong"/>
          <w:rFonts w:eastAsia="Times New Roman" w:cs="Calibri" w:cstheme="minorHAnsi"/>
          <w:b w:val="false"/>
          <w:bCs w:val="false"/>
          <w:color w:val="000000"/>
          <w:u w:val="single"/>
          <w:lang w:eastAsia="it-IT"/>
        </w:rPr>
        <w:t>.</w:t>
      </w:r>
      <w:r>
        <w:rPr>
          <w:rStyle w:val="Strong"/>
          <w:b w:val="false"/>
          <w:bCs w:val="false"/>
        </w:rPr>
        <w:t xml:space="preserve">  (vedi allegato 1)</w:t>
      </w:r>
    </w:p>
    <w:p>
      <w:pPr>
        <w:pStyle w:val="Normal"/>
        <w:spacing w:lineRule="auto" w:line="276"/>
        <w:ind w:left="720" w:hanging="0"/>
        <w:rPr>
          <w:b/>
          <w:b/>
        </w:rPr>
      </w:pPr>
      <w:r>
        <w:rPr>
          <w:rStyle w:val="Strong"/>
          <w:b w:val="false"/>
          <w:bCs w:val="false"/>
        </w:rPr>
        <w:t>“</w:t>
      </w:r>
      <w:r>
        <w:rPr>
          <w:rStyle w:val="Strong"/>
          <w:b w:val="false"/>
          <w:bCs w:val="false"/>
        </w:rPr>
        <w:t>Dare vita alle idee… “Un’idea per la vita”. 2</w:t>
      </w:r>
      <w:r>
        <w:rPr>
          <w:rStyle w:val="Strong"/>
          <w:b w:val="false"/>
          <w:bCs w:val="false"/>
          <w:vertAlign w:val="superscript"/>
        </w:rPr>
        <w:t>a</w:t>
      </w:r>
      <w:r>
        <w:rPr>
          <w:rStyle w:val="Strong"/>
          <w:b w:val="false"/>
          <w:bCs w:val="false"/>
        </w:rPr>
        <w:t xml:space="preserve"> edizione</w:t>
      </w:r>
    </w:p>
    <w:p>
      <w:pPr>
        <w:pStyle w:val="Titolo2"/>
        <w:numPr>
          <w:ilvl w:val="0"/>
          <w:numId w:val="0"/>
        </w:numPr>
        <w:spacing w:lineRule="auto" w:line="276"/>
        <w:ind w:left="720" w:hanging="0"/>
        <w:jc w:val="both"/>
        <w:rPr/>
      </w:pPr>
      <w:r>
        <w:rPr>
          <w:b w:val="false"/>
          <w:bCs w:val="false"/>
          <w:color w:val="A90501"/>
          <w:sz w:val="24"/>
          <w:szCs w:val="24"/>
        </w:rPr>
        <w:t>Gara a squadre… con work-shop finale!</w:t>
      </w:r>
    </w:p>
    <w:p>
      <w:pPr>
        <w:pStyle w:val="Normal"/>
        <w:spacing w:lineRule="auto" w:line="276"/>
        <w:ind w:left="720" w:hanging="0"/>
        <w:jc w:val="both"/>
        <w:rPr/>
      </w:pPr>
      <w:r>
        <w:rPr/>
        <w:t>Percorso  laboratoriale –creativo  che ha coinvolto piccoli gruppi di studenti dell’Istituto  (dalle seconde alle quinte superiori, studenti di età compresa fra i 14 e i 19 anni)  e si è sviluppato nell’arco della mattina con le prime due ore di attività in laboratorio di informatica e, successivamente, a fine giornata la presentazione e discussione dei lavori realizzati</w:t>
      </w:r>
    </w:p>
    <w:p>
      <w:pPr>
        <w:pStyle w:val="Normal"/>
        <w:spacing w:lineRule="auto" w:line="276"/>
        <w:ind w:left="720" w:hanging="0"/>
        <w:jc w:val="both"/>
        <w:rPr/>
      </w:pPr>
      <w:r>
        <w:rPr/>
      </w:r>
    </w:p>
    <w:p>
      <w:pPr>
        <w:pStyle w:val="Normal"/>
        <w:numPr>
          <w:ilvl w:val="0"/>
          <w:numId w:val="3"/>
        </w:numPr>
        <w:spacing w:lineRule="auto" w:line="276"/>
        <w:rPr/>
      </w:pPr>
      <w:r>
        <w:rPr>
          <w:color w:val="000000"/>
        </w:rPr>
        <w:t>Nell’ambito della valorizzazione delle eccellenze oltre che del</w:t>
      </w:r>
      <w:r>
        <w:rPr>
          <w:rStyle w:val="Strong"/>
          <w:b w:val="false"/>
          <w:bCs w:val="false"/>
          <w:color w:val="000000"/>
        </w:rPr>
        <w:t xml:space="preserve"> </w:t>
      </w:r>
      <w:r>
        <w:rPr>
          <w:rStyle w:val="Strong"/>
          <w:b w:val="false"/>
          <w:bCs w:val="false"/>
          <w:i/>
          <w:iCs/>
          <w:color w:val="000000"/>
        </w:rPr>
        <w:t>Coinvolgimento della comunità scolastica</w:t>
      </w:r>
      <w:r>
        <w:rPr>
          <w:rStyle w:val="Strong"/>
          <w:b w:val="false"/>
          <w:bCs w:val="false"/>
          <w:color w:val="000000"/>
        </w:rPr>
        <w:t xml:space="preserve"> va vista l’</w:t>
      </w:r>
      <w:r>
        <w:rPr>
          <w:color w:val="000000"/>
        </w:rPr>
        <w:t xml:space="preserve">Organizzazione della partecipazione degli studenti e delle studentesse interessati alle seguenti gare (vedi allegato2): </w:t>
      </w:r>
    </w:p>
    <w:p>
      <w:pPr>
        <w:pStyle w:val="Normal"/>
        <w:numPr>
          <w:ilvl w:val="1"/>
          <w:numId w:val="3"/>
        </w:numPr>
        <w:spacing w:lineRule="auto" w:line="276"/>
        <w:rPr/>
      </w:pPr>
      <w:r>
        <w:rPr>
          <w:color w:val="000000"/>
        </w:rPr>
        <w:t>Olimpiadi della matematica  (gara individuale e gara a squadre)</w:t>
      </w:r>
    </w:p>
    <w:p>
      <w:pPr>
        <w:pStyle w:val="Normal"/>
        <w:numPr>
          <w:ilvl w:val="1"/>
          <w:numId w:val="3"/>
        </w:numPr>
        <w:spacing w:lineRule="auto" w:line="276"/>
        <w:rPr/>
      </w:pPr>
      <w:r>
        <w:rPr>
          <w:color w:val="000000"/>
        </w:rPr>
        <w:t>Olimpiadi della fisica</w:t>
      </w:r>
    </w:p>
    <w:p>
      <w:pPr>
        <w:pStyle w:val="Normal"/>
        <w:spacing w:lineRule="auto" w:line="276"/>
        <w:ind w:left="1080" w:hanging="0"/>
        <w:rPr>
          <w:color w:val="000000"/>
        </w:rPr>
      </w:pPr>
      <w:r>
        <w:rPr>
          <w:color w:val="000000"/>
        </w:rPr>
      </w:r>
    </w:p>
    <w:p>
      <w:pPr>
        <w:pStyle w:val="Normal"/>
        <w:numPr>
          <w:ilvl w:val="0"/>
          <w:numId w:val="5"/>
        </w:numPr>
        <w:spacing w:lineRule="auto" w:line="276"/>
        <w:rPr/>
      </w:pPr>
      <w:r>
        <w:rPr>
          <w:rStyle w:val="Strong"/>
          <w:b w:val="false"/>
          <w:bCs w:val="false"/>
          <w:color w:val="212121"/>
          <w:shd w:fill="F9F9F9" w:val="clear"/>
        </w:rPr>
        <w:t>Sempre nell’ambito  del “</w:t>
      </w:r>
      <w:r>
        <w:rPr>
          <w:rStyle w:val="Strong"/>
          <w:b w:val="false"/>
          <w:bCs w:val="false"/>
          <w:i/>
          <w:iCs/>
          <w:color w:val="212121"/>
          <w:shd w:fill="F9F9F9" w:val="clear"/>
        </w:rPr>
        <w:t>Coinvolgimento della comunità scolastica</w:t>
      </w:r>
      <w:r>
        <w:rPr>
          <w:rStyle w:val="Strong"/>
          <w:b w:val="false"/>
          <w:bCs w:val="false"/>
          <w:color w:val="212121"/>
          <w:shd w:fill="F9F9F9" w:val="clear"/>
        </w:rPr>
        <w:t>” anche attraverso momenti formativi aperti alle famiglie</w:t>
      </w:r>
      <w:r>
        <w:rPr>
          <w:color w:val="212121"/>
          <w:shd w:fill="F9F9F9" w:val="clear"/>
        </w:rPr>
        <w:t xml:space="preserve"> e al territorio per far acquisire corrette conoscenze in merito all’uso dei dispositivi elettronici, puntando sempre verso un approccio fondato scientificamente va vista l’organizzazione del </w:t>
      </w:r>
      <w:r>
        <w:rPr>
          <w:color w:val="000000"/>
        </w:rPr>
        <w:t>Seminario</w:t>
      </w:r>
      <w:r>
        <w:rPr>
          <w:b/>
          <w:color w:val="000000"/>
        </w:rPr>
        <w:t xml:space="preserve"> </w:t>
      </w:r>
      <w:r>
        <w:rPr>
          <w:b/>
          <w:bCs/>
          <w:color w:val="A90501"/>
        </w:rPr>
        <w:t xml:space="preserve">L'esposizione umana ai </w:t>
      </w:r>
      <w:r>
        <w:rPr>
          <w:b/>
          <w:color w:val="A90501"/>
        </w:rPr>
        <w:t>Campi Elettromagnetici fra falsi miti e verità scientifica</w:t>
      </w:r>
      <w:r>
        <w:rPr>
          <w:b/>
          <w:color w:val="000000"/>
        </w:rPr>
        <w:t>. Il 4 dicembre 2019 nell’</w:t>
      </w:r>
      <w:r>
        <w:rPr>
          <w:b/>
          <w:bCs/>
          <w:color w:val="000000"/>
        </w:rPr>
        <w:t>Aula Magna ore 10:00 – 12:00   (vedi allegato 3)</w:t>
      </w:r>
    </w:p>
    <w:p>
      <w:pPr>
        <w:pStyle w:val="Normal"/>
        <w:spacing w:lineRule="auto" w:line="276"/>
        <w:ind w:left="720" w:hanging="0"/>
        <w:rPr>
          <w:b/>
          <w:b/>
          <w:bCs/>
          <w:color w:val="000000"/>
        </w:rPr>
      </w:pPr>
      <w:r>
        <w:rPr>
          <w:b/>
          <w:bCs/>
          <w:color w:val="000000"/>
        </w:rPr>
      </w:r>
    </w:p>
    <w:p>
      <w:pPr>
        <w:pStyle w:val="Normal"/>
        <w:numPr>
          <w:ilvl w:val="0"/>
          <w:numId w:val="5"/>
        </w:numPr>
        <w:spacing w:lineRule="auto" w:line="276"/>
        <w:rPr/>
      </w:pPr>
      <w:r>
        <w:rPr>
          <w:rFonts w:eastAsia="Times New Roman" w:cs="Calibri" w:cstheme="minorHAnsi"/>
          <w:color w:val="000000"/>
          <w:lang w:eastAsia="it-IT"/>
        </w:rPr>
        <w:t xml:space="preserve">Partecipazione con la classe 3 C sa al progetto nazionale  </w:t>
      </w:r>
      <w:r>
        <w:rPr>
          <w:rStyle w:val="Enfasiforte"/>
          <w:color w:val="000000"/>
        </w:rPr>
        <w:t xml:space="preserve">"IO + NOI. Fare insieme per andare lontano" </w:t>
      </w:r>
      <w:r>
        <w:rPr>
          <w:color w:val="000000"/>
        </w:rPr>
        <w:t xml:space="preserve">rivolta alle scuole secondarie di II grado, per parlare in classe dell’importanza di imparare a </w:t>
      </w:r>
      <w:r>
        <w:rPr>
          <w:rStyle w:val="Enfasiforte"/>
          <w:color w:val="000000"/>
        </w:rPr>
        <w:t xml:space="preserve">lavorare insieme </w:t>
      </w:r>
      <w:r>
        <w:rPr>
          <w:color w:val="000000"/>
        </w:rPr>
        <w:t xml:space="preserve">e del valore della </w:t>
      </w:r>
      <w:r>
        <w:rPr>
          <w:rStyle w:val="Enfasiforte"/>
          <w:color w:val="000000"/>
        </w:rPr>
        <w:t>condivisione di conoscenze</w:t>
      </w:r>
      <w:r>
        <w:rPr>
          <w:color w:val="000000"/>
        </w:rPr>
        <w:t xml:space="preserve">. </w:t>
      </w:r>
      <w:r>
        <w:rPr>
          <w:rStyle w:val="Enfasi"/>
          <w:color w:val="000000"/>
        </w:rPr>
        <w:t xml:space="preserve">Il progetto ha la duplice finalità di </w:t>
      </w:r>
      <w:r>
        <w:rPr>
          <w:rStyle w:val="Enfasiforte"/>
          <w:color w:val="000000"/>
        </w:rPr>
        <w:t xml:space="preserve">sensibilizzare i ragazzi </w:t>
      </w:r>
      <w:r>
        <w:rPr>
          <w:rStyle w:val="Enfasi"/>
          <w:color w:val="000000"/>
        </w:rPr>
        <w:t xml:space="preserve">a sviluppare le proprie competenze in </w:t>
      </w:r>
      <w:r>
        <w:rPr>
          <w:rStyle w:val="Enfasi"/>
          <w:b/>
          <w:bCs/>
          <w:color w:val="000000"/>
        </w:rPr>
        <w:t>gruppo</w:t>
      </w:r>
      <w:r>
        <w:rPr>
          <w:rStyle w:val="Enfasi"/>
          <w:color w:val="000000"/>
        </w:rPr>
        <w:t xml:space="preserve"> e di renderli più attenti e capaci di </w:t>
      </w:r>
      <w:r>
        <w:rPr>
          <w:rStyle w:val="Enfasi"/>
          <w:b/>
          <w:bCs/>
          <w:color w:val="000000"/>
        </w:rPr>
        <w:t>riconoscere ed evitare</w:t>
      </w:r>
      <w:r>
        <w:rPr>
          <w:rStyle w:val="Enfasi"/>
          <w:color w:val="000000"/>
        </w:rPr>
        <w:t xml:space="preserve"> comportamenti che tendano all’</w:t>
      </w:r>
      <w:r>
        <w:rPr>
          <w:rStyle w:val="Enfasi"/>
          <w:b/>
          <w:bCs/>
          <w:color w:val="000000"/>
        </w:rPr>
        <w:t>emarginazione o al “bullismo”</w:t>
      </w:r>
      <w:r>
        <w:rPr>
          <w:rStyle w:val="Enfasi"/>
          <w:color w:val="000000"/>
        </w:rPr>
        <w:t xml:space="preserve">.(i ragazzi sono stati premiati per aver prodotto un bel diario di bordo che illustrava il loro percorso, un power point ed un video contro il bullismo.  </w:t>
      </w:r>
      <w:r>
        <w:rPr>
          <w:rStyle w:val="Enfasi"/>
          <w:color w:val="000000"/>
        </w:rPr>
        <w:t>Allegato 4 solo il power point</w:t>
      </w:r>
      <w:r>
        <w:rPr>
          <w:rStyle w:val="Enfasi"/>
          <w:color w:val="000000"/>
        </w:rPr>
        <w:t xml:space="preserve"> )</w:t>
      </w:r>
    </w:p>
    <w:p>
      <w:pPr>
        <w:pStyle w:val="Normal"/>
        <w:spacing w:lineRule="auto" w:line="276"/>
        <w:ind w:left="720" w:hanging="0"/>
        <w:rPr>
          <w:rStyle w:val="Enfasi"/>
          <w:color w:val="000000"/>
        </w:rPr>
      </w:pPr>
      <w:r>
        <w:rPr>
          <w:color w:val="000000"/>
        </w:rPr>
      </w:r>
    </w:p>
    <w:p>
      <w:pPr>
        <w:pStyle w:val="Normal"/>
        <w:numPr>
          <w:ilvl w:val="0"/>
          <w:numId w:val="4"/>
        </w:numPr>
        <w:spacing w:lineRule="auto" w:line="276"/>
        <w:rPr>
          <w:b/>
          <w:b/>
        </w:rPr>
      </w:pPr>
      <w:r>
        <w:rPr>
          <w:rStyle w:val="Strong"/>
          <w:rFonts w:eastAsia="Times New Roman" w:cs="Calibri" w:cstheme="minorHAnsi"/>
          <w:b w:val="false"/>
          <w:bCs w:val="false"/>
          <w:color w:val="000000"/>
          <w:lang w:eastAsia="it-IT"/>
        </w:rPr>
        <w:t>Realizzazione di materiali informativi sulla Scuola da diffondere sul territorio e fra le famiglie (</w:t>
      </w:r>
      <w:r>
        <w:rPr>
          <w:rStyle w:val="Strong"/>
          <w:rFonts w:eastAsia="Times New Roman" w:cs="Calibri" w:cstheme="minorHAnsi"/>
          <w:b w:val="false"/>
          <w:bCs w:val="false"/>
          <w:i/>
          <w:iCs/>
          <w:color w:val="000000"/>
          <w:lang w:eastAsia="it-IT"/>
        </w:rPr>
        <w:t>Coinvolgimento della comunità scolastica ma</w:t>
      </w:r>
      <w:r>
        <w:rPr>
          <w:rStyle w:val="Strong"/>
          <w:rFonts w:eastAsia="Times New Roman" w:cs="Calibri" w:cstheme="minorHAnsi"/>
          <w:b w:val="false"/>
          <w:bCs w:val="false"/>
          <w:color w:val="000000"/>
          <w:lang w:eastAsia="it-IT"/>
        </w:rPr>
        <w:t xml:space="preserve"> anche</w:t>
      </w:r>
      <w:r>
        <w:rPr>
          <w:rStyle w:val="Strong"/>
          <w:rFonts w:eastAsia="Times New Roman" w:cs="Calibri" w:cstheme="minorHAnsi"/>
          <w:b w:val="false"/>
          <w:bCs w:val="false"/>
          <w:i/>
          <w:iCs/>
          <w:color w:val="000000"/>
          <w:lang w:eastAsia="it-IT"/>
        </w:rPr>
        <w:t xml:space="preserve"> Creazione di soluzioni innovative </w:t>
      </w:r>
      <w:r>
        <w:rPr>
          <w:rStyle w:val="Strong"/>
          <w:rFonts w:eastAsia="Times New Roman" w:cs="Calibri" w:cstheme="minorHAnsi"/>
          <w:b w:val="false"/>
          <w:bCs w:val="false"/>
          <w:color w:val="000000"/>
          <w:lang w:eastAsia="it-IT"/>
        </w:rPr>
        <w:t xml:space="preserve">in quanto i materiali sono stati ideati e realizzati digitalmente ex-novo ) </w:t>
      </w:r>
    </w:p>
    <w:p>
      <w:pPr>
        <w:pStyle w:val="Corpodeltesto"/>
        <w:ind w:left="720" w:hanging="0"/>
        <w:rPr>
          <w:b/>
          <w:b/>
        </w:rPr>
      </w:pPr>
      <w:hyperlink r:id="rId3" w:tgtFrame="_blank">
        <w:r>
          <w:rPr>
            <w:rStyle w:val="CollegamentoInternet"/>
            <w:b/>
            <w:color w:val="000000"/>
            <w:u w:val="none"/>
          </w:rPr>
          <w:t>manifesto orientamento 70_100.pdf</w:t>
        </w:r>
      </w:hyperlink>
    </w:p>
    <w:p>
      <w:pPr>
        <w:pStyle w:val="Corpodeltesto"/>
        <w:ind w:left="720" w:hanging="0"/>
        <w:rPr>
          <w:b/>
          <w:b/>
        </w:rPr>
      </w:pPr>
      <w:hyperlink r:id="rId4" w:tgtFrame="_blank">
        <w:r>
          <w:rPr>
            <w:rStyle w:val="CollegamentoInternet"/>
            <w:b/>
            <w:color w:val="000000"/>
            <w:u w:val="none"/>
          </w:rPr>
          <w:t>Link alla versione sfogliabile della nuova brochure della Scuola.pdf</w:t>
        </w:r>
      </w:hyperlink>
    </w:p>
    <w:p>
      <w:pPr>
        <w:pStyle w:val="Corpodeltesto"/>
        <w:ind w:left="720" w:hanging="0"/>
        <w:rPr>
          <w:b/>
          <w:b/>
        </w:rPr>
      </w:pPr>
      <w:hyperlink r:id="rId5" w:tgtFrame="_blank">
        <w:r>
          <w:rPr>
            <w:rStyle w:val="CollegamentoInternet"/>
            <w:b/>
            <w:color w:val="000000"/>
            <w:u w:val="none"/>
          </w:rPr>
          <w:t>Roll up_orientamento.pdf</w:t>
        </w:r>
      </w:hyperlink>
    </w:p>
    <w:p>
      <w:pPr>
        <w:pStyle w:val="Corpodeltesto"/>
        <w:ind w:left="720" w:hanging="0"/>
        <w:rPr>
          <w:b/>
          <w:b/>
        </w:rPr>
      </w:pPr>
      <w:hyperlink r:id="rId6" w:tgtFrame="_blank">
        <w:r>
          <w:rPr>
            <w:rStyle w:val="CollegamentoInternet"/>
            <w:b/>
            <w:color w:val="000000"/>
            <w:u w:val="none"/>
          </w:rPr>
          <w:t>brochure_versione_finale.pdf</w:t>
        </w:r>
      </w:hyperlink>
    </w:p>
    <w:p>
      <w:pPr>
        <w:pStyle w:val="Corpodeltesto"/>
        <w:numPr>
          <w:ilvl w:val="0"/>
          <w:numId w:val="6"/>
        </w:numPr>
        <w:ind w:left="340" w:hanging="0"/>
        <w:rPr>
          <w:b/>
          <w:b/>
        </w:rPr>
      </w:pPr>
      <w:r>
        <w:rPr>
          <w:b/>
          <w:color w:val="000000"/>
        </w:rPr>
        <w:t xml:space="preserve">Collaborazione con Amnesty International </w:t>
      </w:r>
      <w:r>
        <w:rPr>
          <w:rStyle w:val="Strong"/>
          <w:rFonts w:eastAsia="Times New Roman" w:cs="Calibri" w:cstheme="minorHAnsi"/>
          <w:b w:val="false"/>
          <w:bCs w:val="false"/>
          <w:color w:val="000000"/>
          <w:lang w:eastAsia="it-IT"/>
        </w:rPr>
        <w:t>(</w:t>
      </w:r>
      <w:r>
        <w:rPr>
          <w:rStyle w:val="Strong"/>
          <w:rFonts w:eastAsia="Times New Roman" w:cs="Calibri" w:cstheme="minorHAnsi"/>
          <w:b w:val="false"/>
          <w:bCs w:val="false"/>
          <w:i/>
          <w:iCs/>
          <w:color w:val="000000"/>
          <w:lang w:eastAsia="it-IT"/>
        </w:rPr>
        <w:t xml:space="preserve">Coinvolgimento della comunità scolastica) </w:t>
        <w:tab/>
        <w:t xml:space="preserve">per favorire la partecipazione dei ragazzi e la loro conoscenza dei temi del rispetto dei </w:t>
        <w:tab/>
        <w:t xml:space="preserve">diritti umani, della cittadinanza consapevole, della sostenibilità ambientale (circa 12 ore di </w:t>
        <w:tab/>
        <w:t>attività per 24 studenti del triennio interessati)  (</w:t>
      </w:r>
      <w:r>
        <w:rPr>
          <w:rStyle w:val="Strong"/>
          <w:rFonts w:eastAsia="Times New Roman" w:cs="Calibri" w:cstheme="minorHAnsi"/>
          <w:b/>
          <w:bCs/>
          <w:i/>
          <w:iCs/>
          <w:color w:val="000000"/>
          <w:sz w:val="24"/>
          <w:lang w:eastAsia="it-IT"/>
        </w:rPr>
        <w:t xml:space="preserve">allegato </w:t>
      </w:r>
      <w:r>
        <w:rPr>
          <w:rStyle w:val="Strong"/>
          <w:rFonts w:eastAsia="Times New Roman" w:cs="Calibri" w:cstheme="minorHAnsi"/>
          <w:b/>
          <w:bCs/>
          <w:i/>
          <w:iCs/>
          <w:color w:val="000000"/>
          <w:sz w:val="24"/>
          <w:lang w:eastAsia="it-IT"/>
        </w:rPr>
        <w:t>5</w:t>
      </w:r>
      <w:r>
        <w:rPr>
          <w:rStyle w:val="Strong"/>
          <w:rFonts w:eastAsia="Times New Roman" w:cs="Calibri" w:cstheme="minorHAnsi"/>
          <w:b w:val="false"/>
          <w:bCs w:val="false"/>
          <w:i/>
          <w:iCs/>
          <w:color w:val="000000"/>
          <w:sz w:val="24"/>
          <w:lang w:eastAsia="it-IT"/>
        </w:rPr>
        <w:t>:</w:t>
      </w:r>
      <w:r>
        <w:rPr>
          <w:rStyle w:val="Strong"/>
          <w:rFonts w:eastAsia="Times New Roman" w:cs="Calibri" w:cstheme="minorHAnsi"/>
          <w:b w:val="false"/>
          <w:bCs w:val="false"/>
          <w:i/>
          <w:iCs/>
          <w:color w:val="000000"/>
          <w:lang w:eastAsia="it-IT"/>
        </w:rPr>
        <w:t xml:space="preserve"> progetto e relazione specifici)</w:t>
      </w:r>
    </w:p>
    <w:p>
      <w:pPr>
        <w:pStyle w:val="Corpodeltesto"/>
        <w:ind w:left="1060" w:hanging="0"/>
        <w:rPr>
          <w:b/>
          <w:b/>
        </w:rPr>
      </w:pPr>
      <w:r>
        <w:rPr>
          <w:b/>
        </w:rPr>
      </w:r>
    </w:p>
    <w:p>
      <w:pPr>
        <w:pStyle w:val="Normal"/>
        <w:spacing w:lineRule="auto" w:line="360"/>
        <w:rPr>
          <w:b/>
          <w:b/>
        </w:rPr>
      </w:pPr>
      <w:r>
        <w:rPr>
          <w:rStyle w:val="Strong"/>
          <w:rFonts w:eastAsia="Times New Roman" w:cs="Calibri" w:cstheme="minorHAnsi"/>
          <w:b w:val="false"/>
          <w:bCs w:val="false"/>
          <w:color w:val="000000"/>
          <w:lang w:eastAsia="it-IT"/>
        </w:rPr>
        <w:t xml:space="preserve">Le seguenti attività hanno avuto come obiettivo la </w:t>
      </w:r>
      <w:r>
        <w:rPr>
          <w:rStyle w:val="Strong"/>
          <w:rFonts w:eastAsia="Times New Roman" w:cs="Calibri" w:cstheme="minorHAnsi"/>
          <w:color w:val="000000"/>
          <w:lang w:eastAsia="it-IT"/>
        </w:rPr>
        <w:t>Formazione interna (1° azione del PNSD)</w:t>
      </w:r>
    </w:p>
    <w:p>
      <w:pPr>
        <w:pStyle w:val="Normal"/>
        <w:numPr>
          <w:ilvl w:val="0"/>
          <w:numId w:val="7"/>
        </w:numPr>
        <w:spacing w:lineRule="auto" w:line="360"/>
        <w:rPr>
          <w:b/>
          <w:b/>
        </w:rPr>
      </w:pPr>
      <w:bookmarkStart w:id="0" w:name="_GoBack"/>
      <w:bookmarkEnd w:id="0"/>
      <w:r>
        <w:rPr>
          <w:rStyle w:val="Strong"/>
          <w:rFonts w:eastAsia="Times New Roman" w:cs="Calibri" w:cstheme="minorHAnsi"/>
          <w:b w:val="false"/>
          <w:bCs w:val="false"/>
          <w:color w:val="000000"/>
          <w:lang w:eastAsia="it-IT"/>
        </w:rPr>
        <w:t>“</w:t>
      </w:r>
      <w:r>
        <w:rPr>
          <w:rStyle w:val="Strong"/>
          <w:rFonts w:eastAsia="Times New Roman" w:cs="Calibri" w:cstheme="minorHAnsi"/>
          <w:color w:val="000000"/>
          <w:lang w:eastAsia="it-IT"/>
        </w:rPr>
        <w:t>CREATORI di Mondi</w:t>
      </w:r>
      <w:r>
        <w:rPr>
          <w:rStyle w:val="Strong"/>
          <w:rFonts w:eastAsia="Times New Roman" w:cs="Calibri" w:cstheme="minorHAnsi"/>
          <w:b w:val="false"/>
          <w:bCs w:val="false"/>
          <w:color w:val="000000"/>
          <w:lang w:eastAsia="it-IT"/>
        </w:rPr>
        <w:t>” Vedere i progetti organizzati, programmati e pubblicati su SOFIA in ottobre 2019 ed in parte coordinati insieme al gruppo di lavoro del PDM (Piano di Miglioramento che ha realizzato i moduli per la rendicontazione delle attività)</w:t>
      </w:r>
    </w:p>
    <w:p>
      <w:pPr>
        <w:pStyle w:val="Normal"/>
        <w:numPr>
          <w:ilvl w:val="0"/>
          <w:numId w:val="7"/>
        </w:numPr>
        <w:spacing w:lineRule="auto" w:line="360"/>
        <w:rPr>
          <w:b/>
          <w:b/>
        </w:rPr>
      </w:pPr>
      <w:r>
        <w:rPr>
          <w:rStyle w:val="Strong"/>
          <w:rFonts w:eastAsia="Times New Roman" w:cs="Calibri" w:cstheme="minorHAnsi"/>
          <w:b w:val="false"/>
          <w:bCs w:val="false"/>
          <w:color w:val="000000"/>
          <w:lang w:eastAsia="it-IT"/>
        </w:rPr>
        <w:t xml:space="preserve">Azione di </w:t>
      </w:r>
      <w:r>
        <w:rPr>
          <w:rStyle w:val="Strong"/>
          <w:rFonts w:eastAsia="Times New Roman" w:cs="Calibri" w:cstheme="minorHAnsi"/>
          <w:color w:val="000000"/>
          <w:lang w:eastAsia="it-IT"/>
        </w:rPr>
        <w:t>pubblicizzazione</w:t>
      </w:r>
      <w:r>
        <w:rPr>
          <w:rStyle w:val="Strong"/>
          <w:rFonts w:eastAsia="Times New Roman" w:cs="Calibri" w:cstheme="minorHAnsi"/>
          <w:b w:val="false"/>
          <w:bCs w:val="false"/>
          <w:color w:val="000000"/>
          <w:lang w:eastAsia="it-IT"/>
        </w:rPr>
        <w:t xml:space="preserve"> continua presso i colleghi di </w:t>
      </w:r>
      <w:r>
        <w:rPr>
          <w:rStyle w:val="Strong"/>
          <w:rFonts w:eastAsia="Times New Roman" w:cs="Calibri" w:cstheme="minorHAnsi"/>
          <w:color w:val="000000"/>
          <w:lang w:eastAsia="it-IT"/>
        </w:rPr>
        <w:t>attività formative</w:t>
      </w:r>
      <w:r>
        <w:rPr>
          <w:rStyle w:val="Strong"/>
          <w:rFonts w:eastAsia="Times New Roman" w:cs="Calibri" w:cstheme="minorHAnsi"/>
          <w:b w:val="false"/>
          <w:bCs w:val="false"/>
          <w:color w:val="000000"/>
          <w:lang w:eastAsia="it-IT"/>
        </w:rPr>
        <w:t xml:space="preserve"> in presenza ed online (Ambito 16, Webinar di Case Editrici, dell’INFN, del CNR, di enti di rilievo...) </w:t>
      </w:r>
    </w:p>
    <w:p>
      <w:pPr>
        <w:pStyle w:val="Normal"/>
        <w:numPr>
          <w:ilvl w:val="0"/>
          <w:numId w:val="7"/>
        </w:numPr>
        <w:spacing w:lineRule="auto" w:line="360"/>
        <w:rPr>
          <w:b/>
          <w:b/>
        </w:rPr>
      </w:pPr>
      <w:r>
        <w:rPr>
          <w:rStyle w:val="Strong"/>
          <w:rFonts w:eastAsia="Times New Roman" w:cs="Calibri" w:cstheme="minorHAnsi"/>
          <w:b w:val="false"/>
          <w:bCs w:val="false"/>
          <w:color w:val="000000"/>
          <w:lang w:eastAsia="it-IT"/>
        </w:rPr>
        <w:t xml:space="preserve">Realizzazione di </w:t>
      </w:r>
      <w:r>
        <w:rPr>
          <w:rStyle w:val="Strong"/>
          <w:rFonts w:eastAsia="Times New Roman" w:cs="Calibri" w:cstheme="minorHAnsi"/>
          <w:color w:val="000000"/>
          <w:lang w:eastAsia="it-IT"/>
        </w:rPr>
        <w:t>tutorial per l’uso di WeSchool</w:t>
      </w:r>
      <w:r>
        <w:rPr>
          <w:rStyle w:val="Strong"/>
          <w:rFonts w:eastAsia="Times New Roman" w:cs="Calibri" w:cstheme="minorHAnsi"/>
          <w:b w:val="false"/>
          <w:bCs w:val="false"/>
          <w:color w:val="000000"/>
          <w:lang w:eastAsia="it-IT"/>
        </w:rPr>
        <w:t xml:space="preserve"> al momento dell’attivazione della DaD già all’inizio di marzo 2020</w:t>
      </w:r>
      <w:r>
        <w:rPr>
          <w:rStyle w:val="Strong"/>
          <w:rFonts w:eastAsia="Times New Roman" w:cs="Calibri" w:cstheme="minorHAnsi"/>
          <w:b/>
          <w:bCs w:val="false"/>
          <w:color w:val="000000"/>
          <w:lang w:eastAsia="it-IT"/>
        </w:rPr>
        <w:t xml:space="preserve"> </w:t>
      </w:r>
      <w:r>
        <w:rPr>
          <w:rStyle w:val="Strong"/>
          <w:rFonts w:eastAsia="Times New Roman" w:cs="Calibri" w:cstheme="minorHAnsi"/>
          <w:b/>
          <w:bCs w:val="false"/>
          <w:color w:val="000000"/>
          <w:lang w:eastAsia="it-IT"/>
        </w:rPr>
        <w:t xml:space="preserve">(allegato </w:t>
      </w:r>
      <w:r>
        <w:rPr>
          <w:rStyle w:val="Strong"/>
          <w:rFonts w:eastAsia="Times New Roman" w:cs="Calibri" w:cstheme="minorHAnsi"/>
          <w:b/>
          <w:bCs w:val="false"/>
          <w:color w:val="000000"/>
          <w:lang w:eastAsia="it-IT"/>
        </w:rPr>
        <w:t>6</w:t>
      </w:r>
      <w:r>
        <w:rPr>
          <w:rStyle w:val="Strong"/>
          <w:rFonts w:eastAsia="Times New Roman" w:cs="Calibri" w:cstheme="minorHAnsi"/>
          <w:b/>
          <w:bCs w:val="false"/>
          <w:color w:val="000000"/>
          <w:lang w:eastAsia="it-IT"/>
        </w:rPr>
        <w:t>)</w:t>
      </w:r>
    </w:p>
    <w:p>
      <w:pPr>
        <w:pStyle w:val="Normal"/>
        <w:numPr>
          <w:ilvl w:val="0"/>
          <w:numId w:val="7"/>
        </w:numPr>
        <w:spacing w:lineRule="auto" w:line="360"/>
        <w:rPr>
          <w:b/>
          <w:b/>
        </w:rPr>
      </w:pPr>
      <w:r>
        <w:rPr>
          <w:rStyle w:val="Strong"/>
          <w:rFonts w:eastAsia="Times New Roman" w:cs="Calibri" w:cstheme="minorHAnsi"/>
          <w:b w:val="false"/>
          <w:bCs w:val="false"/>
          <w:color w:val="000000"/>
          <w:lang w:eastAsia="it-IT"/>
        </w:rPr>
        <w:t xml:space="preserve">Realizzazione di </w:t>
      </w:r>
      <w:r>
        <w:rPr>
          <w:rStyle w:val="Strong"/>
          <w:rFonts w:eastAsia="Times New Roman" w:cs="Calibri" w:cstheme="minorHAnsi"/>
          <w:color w:val="000000"/>
          <w:lang w:eastAsia="it-IT"/>
        </w:rPr>
        <w:t>tutorial per l’uso di Teams</w:t>
      </w:r>
      <w:r>
        <w:rPr>
          <w:rStyle w:val="Strong"/>
          <w:rFonts w:eastAsia="Times New Roman" w:cs="Calibri" w:cstheme="minorHAnsi"/>
          <w:b w:val="false"/>
          <w:bCs w:val="false"/>
          <w:color w:val="000000"/>
          <w:lang w:eastAsia="it-IT"/>
        </w:rPr>
        <w:t xml:space="preserve"> a partire dall’attivazione della Piattaforma Microsoft Teams 365 di Istituto a fine marzo 2020</w:t>
      </w:r>
      <w:r>
        <w:rPr>
          <w:rStyle w:val="Strong"/>
          <w:rFonts w:eastAsia="Times New Roman" w:cs="Calibri" w:cstheme="minorHAnsi"/>
          <w:b/>
          <w:bCs w:val="false"/>
          <w:color w:val="000000"/>
          <w:lang w:eastAsia="it-IT"/>
        </w:rPr>
        <w:t xml:space="preserve"> </w:t>
      </w:r>
      <w:r>
        <w:rPr>
          <w:rStyle w:val="Strong"/>
          <w:rFonts w:eastAsia="Times New Roman" w:cs="Calibri" w:cstheme="minorHAnsi"/>
          <w:b/>
          <w:bCs w:val="false"/>
          <w:color w:val="000000"/>
          <w:lang w:eastAsia="it-IT"/>
        </w:rPr>
        <w:t>(allegato 7)</w:t>
      </w:r>
    </w:p>
    <w:p>
      <w:pPr>
        <w:pStyle w:val="Normal"/>
        <w:numPr>
          <w:ilvl w:val="0"/>
          <w:numId w:val="7"/>
        </w:numPr>
        <w:spacing w:lineRule="auto" w:line="360"/>
        <w:rPr>
          <w:b/>
          <w:b/>
        </w:rPr>
      </w:pPr>
      <w:r>
        <w:rPr>
          <w:rStyle w:val="Strong"/>
          <w:rFonts w:eastAsia="Times New Roman" w:cs="Calibri" w:cstheme="minorHAnsi"/>
          <w:b w:val="false"/>
          <w:bCs w:val="false"/>
          <w:color w:val="000000"/>
          <w:lang w:eastAsia="it-IT"/>
        </w:rPr>
        <w:t>Circa duecento ore di formazione individuale o a piccoli gruppi, alcune in videolezione o in chat su Teams, per guidare i colleghi all’uso di Teams, illustrare le funzioni della piattaforma o l’uso di strumenti e metodologie utilizzabili nella DaD.</w:t>
      </w:r>
    </w:p>
    <w:p>
      <w:pPr>
        <w:pStyle w:val="Normal"/>
        <w:spacing w:lineRule="auto" w:line="360"/>
        <w:rPr>
          <w:rStyle w:val="Strong"/>
        </w:rPr>
      </w:pPr>
      <w:r>
        <w:rPr/>
      </w:r>
    </w:p>
    <w:p>
      <w:pPr>
        <w:pStyle w:val="Normal"/>
        <w:rPr>
          <w:rStyle w:val="Strong"/>
        </w:rPr>
      </w:pPr>
      <w:r>
        <w:rPr/>
      </w:r>
    </w:p>
    <w:p>
      <w:pPr>
        <w:pStyle w:val="Normal"/>
        <w:spacing w:lineRule="auto" w:line="360"/>
        <w:rPr>
          <w:b/>
          <w:b/>
        </w:rPr>
      </w:pPr>
      <w:r>
        <w:rPr>
          <w:rStyle w:val="Strong"/>
          <w:rFonts w:eastAsia="Times New Roman" w:cs="Calibri" w:cstheme="minorHAnsi"/>
          <w:b w:val="false"/>
          <w:bCs w:val="false"/>
          <w:color w:val="000000"/>
          <w:lang w:eastAsia="it-IT"/>
        </w:rPr>
        <w:t xml:space="preserve">Le seguenti attività hanno avuto come obiettivo la </w:t>
      </w:r>
      <w:r>
        <w:rPr>
          <w:rStyle w:val="Strong"/>
          <w:rFonts w:eastAsia="Times New Roman" w:cs="Calibri" w:cstheme="minorHAnsi"/>
          <w:color w:val="000000"/>
          <w:lang w:eastAsia="it-IT"/>
        </w:rPr>
        <w:t>Creazione di soluzioni innovative (3° azione del PNSD)</w:t>
      </w:r>
    </w:p>
    <w:p>
      <w:pPr>
        <w:pStyle w:val="Normal"/>
        <w:numPr>
          <w:ilvl w:val="0"/>
          <w:numId w:val="8"/>
        </w:numPr>
        <w:spacing w:lineRule="auto" w:line="360"/>
        <w:jc w:val="both"/>
        <w:rPr>
          <w:sz w:val="20"/>
          <w:szCs w:val="20"/>
        </w:rPr>
      </w:pPr>
      <w:r>
        <w:rPr>
          <w:rFonts w:eastAsia="Times New Roman" w:cs="Calibri" w:cstheme="minorHAnsi"/>
          <w:color w:val="000000"/>
          <w:lang w:eastAsia="it-IT"/>
        </w:rPr>
        <w:t>coordinamento con il PdM per tutte le azioni svolte ad inizio d’anno per la programmazione del PNSD e le variazioni da apportare nel PTOF e nel RAV</w:t>
      </w:r>
    </w:p>
    <w:p>
      <w:pPr>
        <w:pStyle w:val="Normal"/>
        <w:numPr>
          <w:ilvl w:val="0"/>
          <w:numId w:val="8"/>
        </w:numPr>
        <w:spacing w:lineRule="auto" w:line="360"/>
        <w:jc w:val="both"/>
        <w:rPr/>
      </w:pPr>
      <w:r>
        <w:rPr>
          <w:rFonts w:eastAsia="Times New Roman" w:cs="Calibri" w:cstheme="minorHAnsi"/>
          <w:color w:val="000000"/>
          <w:lang w:eastAsia="it-IT"/>
        </w:rPr>
        <w:t xml:space="preserve">realizzazione </w:t>
      </w:r>
      <w:r>
        <w:rPr>
          <w:rFonts w:eastAsia="Times New Roman" w:cs="Calibri" w:cstheme="minorHAnsi"/>
          <w:b/>
          <w:bCs/>
          <w:color w:val="000000"/>
          <w:lang w:eastAsia="it-IT"/>
        </w:rPr>
        <w:t>questionario online</w:t>
      </w:r>
      <w:r>
        <w:rPr>
          <w:rFonts w:eastAsia="Times New Roman" w:cs="Calibri" w:cstheme="minorHAnsi"/>
          <w:color w:val="000000"/>
          <w:lang w:eastAsia="it-IT"/>
        </w:rPr>
        <w:t xml:space="preserve"> per l’acquisizione del </w:t>
      </w:r>
      <w:r>
        <w:rPr>
          <w:rFonts w:eastAsia="Times New Roman" w:cs="Calibri" w:cstheme="minorHAnsi"/>
          <w:b/>
          <w:bCs/>
          <w:color w:val="000000"/>
          <w:lang w:eastAsia="it-IT"/>
        </w:rPr>
        <w:t xml:space="preserve">consenso da parte dei genitori </w:t>
      </w:r>
      <w:r>
        <w:rPr>
          <w:rFonts w:eastAsia="Times New Roman" w:cs="Calibri" w:cstheme="minorHAnsi"/>
          <w:color w:val="000000"/>
          <w:lang w:eastAsia="it-IT"/>
        </w:rPr>
        <w:t xml:space="preserve">degli allievi all’uso delle diverse soluzioni attivate dai docenti per realizzare l’attività di </w:t>
      </w:r>
      <w:r>
        <w:rPr>
          <w:rFonts w:eastAsia="Times New Roman" w:cs="Calibri" w:cstheme="minorHAnsi"/>
          <w:b/>
          <w:bCs/>
          <w:color w:val="000000"/>
          <w:lang w:eastAsia="it-IT"/>
        </w:rPr>
        <w:t>didattica a distanza</w:t>
      </w:r>
      <w:r>
        <w:rPr>
          <w:rFonts w:eastAsia="Times New Roman" w:cs="Calibri" w:cstheme="minorHAnsi"/>
          <w:color w:val="000000"/>
          <w:lang w:eastAsia="it-IT"/>
        </w:rPr>
        <w:t>. Tale questionario è stato pubblicato il 23 marzo 2020 sul sito della Scuola ed ha raccolto un’altissima percentuale di adesioni</w:t>
      </w:r>
    </w:p>
    <w:p>
      <w:pPr>
        <w:pStyle w:val="Normal"/>
        <w:numPr>
          <w:ilvl w:val="0"/>
          <w:numId w:val="8"/>
        </w:numPr>
        <w:spacing w:lineRule="auto" w:line="360"/>
        <w:jc w:val="both"/>
        <w:rPr/>
      </w:pPr>
      <w:r>
        <w:rPr>
          <w:rFonts w:eastAsia="Times New Roman" w:cs="Calibri" w:cstheme="minorHAnsi"/>
          <w:color w:val="000000"/>
          <w:lang w:eastAsia="it-IT"/>
        </w:rPr>
        <w:t xml:space="preserve">Individuazione dei contatti e, previa analisi degli standard di sicurezza offerti dalle diverse piattaforme ed in accordo con la Dirigente Scolastica, </w:t>
      </w:r>
      <w:r>
        <w:rPr>
          <w:rFonts w:eastAsia="Times New Roman" w:cs="Calibri" w:cstheme="minorHAnsi"/>
          <w:b/>
          <w:bCs/>
          <w:color w:val="000000"/>
          <w:lang w:eastAsia="it-IT"/>
        </w:rPr>
        <w:t>attivazione della Piattaforma Microsoft Teams 365</w:t>
      </w:r>
      <w:r>
        <w:rPr>
          <w:rFonts w:eastAsia="Times New Roman" w:cs="Calibri" w:cstheme="minorHAnsi"/>
          <w:color w:val="000000"/>
          <w:lang w:eastAsia="it-IT"/>
        </w:rPr>
        <w:t xml:space="preserve"> per i circa 1300 studenti, i 145 docenti ed il personale ATA della Scuola e creazione delle loro credenziali e password (comunicazione per email dedicata ai 150 docenti e ai coordinatori di classe per gli studenti) con il dominio temporaneo     </w:t>
      </w:r>
      <w:r>
        <w:rPr>
          <w:rFonts w:eastAsia="Times New Roman" w:cs="Calibri" w:cstheme="minorHAnsi"/>
          <w:b/>
          <w:bCs/>
          <w:color w:val="000000"/>
          <w:lang w:eastAsia="it-IT"/>
        </w:rPr>
        <w:t>@isismontalciniquarto.onmicrosoft.com</w:t>
      </w:r>
      <w:r>
        <w:rPr>
          <w:rFonts w:eastAsia="Times New Roman" w:cs="Calibri" w:cstheme="minorHAnsi"/>
          <w:color w:val="000000"/>
          <w:lang w:eastAsia="it-IT"/>
        </w:rPr>
        <w:t xml:space="preserve"> che dovrà essere «connesso» al più presto al dominio della Scuola (studio e messa in opera circa </w:t>
      </w:r>
      <w:r>
        <w:rPr>
          <w:rFonts w:eastAsia="Times New Roman" w:cs="Calibri" w:cstheme="minorHAnsi"/>
          <w:color w:val="000000"/>
          <w:lang w:eastAsia="it-IT"/>
        </w:rPr>
        <w:t>15</w:t>
      </w:r>
      <w:r>
        <w:rPr>
          <w:rFonts w:eastAsia="Times New Roman" w:cs="Calibri" w:cstheme="minorHAnsi"/>
          <w:color w:val="000000"/>
          <w:lang w:eastAsia="it-IT"/>
        </w:rPr>
        <w:t>0 ore)</w:t>
      </w:r>
    </w:p>
    <w:p>
      <w:pPr>
        <w:pStyle w:val="Normal"/>
        <w:numPr>
          <w:ilvl w:val="0"/>
          <w:numId w:val="8"/>
        </w:numPr>
        <w:spacing w:lineRule="auto" w:line="360"/>
        <w:jc w:val="both"/>
        <w:rPr>
          <w:sz w:val="20"/>
          <w:szCs w:val="20"/>
        </w:rPr>
      </w:pPr>
      <w:r>
        <w:rPr>
          <w:rFonts w:eastAsia="Times New Roman" w:cs="Calibri" w:cstheme="minorHAnsi"/>
          <w:color w:val="000000"/>
          <w:lang w:eastAsia="it-IT"/>
        </w:rPr>
        <w:t xml:space="preserve">Creazione dei </w:t>
      </w:r>
      <w:r>
        <w:rPr>
          <w:rFonts w:eastAsia="Times New Roman" w:cs="Calibri" w:cstheme="minorHAnsi"/>
          <w:b/>
          <w:bCs/>
          <w:color w:val="000000"/>
          <w:lang w:eastAsia="it-IT"/>
        </w:rPr>
        <w:t>Team per tutte le classi della Scuola</w:t>
      </w:r>
      <w:r>
        <w:rPr>
          <w:rFonts w:eastAsia="Times New Roman" w:cs="Calibri" w:cstheme="minorHAnsi"/>
          <w:color w:val="000000"/>
          <w:lang w:eastAsia="it-IT"/>
        </w:rPr>
        <w:t xml:space="preserve"> e per tutti i gruppi e gli </w:t>
      </w:r>
      <w:r>
        <w:rPr>
          <w:rFonts w:eastAsia="Times New Roman" w:cs="Calibri" w:cstheme="minorHAnsi"/>
          <w:b/>
          <w:bCs/>
          <w:color w:val="000000"/>
          <w:lang w:eastAsia="it-IT"/>
        </w:rPr>
        <w:t>organi funzionali</w:t>
      </w:r>
      <w:r>
        <w:rPr>
          <w:rFonts w:eastAsia="Times New Roman" w:cs="Calibri" w:cstheme="minorHAnsi"/>
          <w:color w:val="000000"/>
          <w:lang w:eastAsia="it-IT"/>
        </w:rPr>
        <w:t xml:space="preserve"> al corretto svolgersi dell’attività scolastica (Collegio docenti, Consiglio d’Istituto, Giunta esecutiva, Coordinatori di classe, personale ATA, PCTO, progetto CSV, ...)</w:t>
      </w:r>
    </w:p>
    <w:p>
      <w:pPr>
        <w:pStyle w:val="Normal"/>
        <w:numPr>
          <w:ilvl w:val="0"/>
          <w:numId w:val="8"/>
        </w:numPr>
        <w:spacing w:lineRule="auto" w:line="360"/>
        <w:jc w:val="both"/>
        <w:rPr/>
      </w:pPr>
      <w:r>
        <w:rPr>
          <w:rFonts w:eastAsia="Times New Roman" w:cs="Calibri" w:cstheme="minorHAnsi"/>
          <w:color w:val="000000"/>
          <w:lang w:eastAsia="it-IT"/>
        </w:rPr>
        <w:t xml:space="preserve">Creazione dei Team per la </w:t>
      </w:r>
      <w:r>
        <w:rPr>
          <w:rFonts w:eastAsia="Times New Roman" w:cs="Calibri" w:cstheme="minorHAnsi"/>
          <w:b/>
          <w:bCs/>
          <w:color w:val="000000"/>
          <w:lang w:eastAsia="it-IT"/>
        </w:rPr>
        <w:t xml:space="preserve">prosecuzione ed il completamento dei 5 PON </w:t>
      </w:r>
      <w:r>
        <w:rPr>
          <w:rFonts w:eastAsia="Times New Roman" w:cs="Calibri" w:cstheme="minorHAnsi"/>
          <w:color w:val="000000"/>
          <w:lang w:eastAsia="it-IT"/>
        </w:rPr>
        <w:t xml:space="preserve">da completare </w:t>
      </w:r>
      <w:r>
        <w:rPr>
          <w:rFonts w:eastAsia="Times New Roman" w:cs="Calibri" w:cstheme="minorHAnsi"/>
          <w:color w:val="000000"/>
          <w:lang w:eastAsia="it-IT"/>
        </w:rPr>
        <w:t xml:space="preserve">in DaD </w:t>
      </w:r>
      <w:r>
        <w:rPr>
          <w:rFonts w:eastAsia="Times New Roman" w:cs="Calibri" w:cstheme="minorHAnsi"/>
          <w:color w:val="000000"/>
          <w:lang w:eastAsia="it-IT"/>
        </w:rPr>
        <w:t xml:space="preserve">e realizzazione dei </w:t>
      </w:r>
      <w:r>
        <w:rPr>
          <w:rFonts w:eastAsia="Times New Roman" w:cs="Calibri" w:cstheme="minorHAnsi"/>
          <w:color w:val="000000"/>
          <w:u w:val="single"/>
          <w:lang w:eastAsia="it-IT"/>
        </w:rPr>
        <w:t>report da inviare all’Autorità di gestione</w:t>
      </w:r>
    </w:p>
    <w:p>
      <w:pPr>
        <w:pStyle w:val="Normal"/>
        <w:numPr>
          <w:ilvl w:val="0"/>
          <w:numId w:val="8"/>
        </w:numPr>
        <w:spacing w:lineRule="auto" w:line="360"/>
        <w:jc w:val="both"/>
        <w:rPr>
          <w:sz w:val="20"/>
          <w:szCs w:val="20"/>
        </w:rPr>
      </w:pPr>
      <w:r>
        <w:rPr>
          <w:rFonts w:eastAsia="Times New Roman" w:cs="Calibri" w:cstheme="minorHAnsi"/>
          <w:color w:val="000000"/>
          <w:lang w:eastAsia="it-IT"/>
        </w:rPr>
        <w:t xml:space="preserve">Creazione dei Teams per lo </w:t>
      </w:r>
      <w:r>
        <w:rPr>
          <w:rFonts w:eastAsia="Times New Roman" w:cs="Calibri" w:cstheme="minorHAnsi"/>
          <w:b/>
          <w:bCs/>
          <w:color w:val="000000"/>
          <w:lang w:eastAsia="it-IT"/>
        </w:rPr>
        <w:t>svolgimento anche degli Esami di Stato a Distanza</w:t>
      </w:r>
      <w:r>
        <w:rPr>
          <w:rFonts w:eastAsia="Times New Roman" w:cs="Calibri" w:cstheme="minorHAnsi"/>
          <w:color w:val="000000"/>
          <w:lang w:eastAsia="it-IT"/>
        </w:rPr>
        <w:t xml:space="preserve"> per i docenti e gli studenti che ne avevano fatto richiesta e delle credenziali per i Presidenti delle Commissioni</w:t>
      </w:r>
    </w:p>
    <w:p>
      <w:pPr>
        <w:pStyle w:val="Normal"/>
        <w:numPr>
          <w:ilvl w:val="0"/>
          <w:numId w:val="8"/>
        </w:numPr>
        <w:spacing w:lineRule="auto" w:line="360"/>
        <w:jc w:val="both"/>
        <w:rPr>
          <w:sz w:val="20"/>
          <w:szCs w:val="20"/>
        </w:rPr>
      </w:pPr>
      <w:r>
        <w:rPr>
          <w:rFonts w:eastAsia="Times New Roman" w:cs="Calibri" w:cstheme="minorHAnsi"/>
          <w:color w:val="000000"/>
          <w:lang w:eastAsia="it-IT"/>
        </w:rPr>
        <w:t xml:space="preserve">Creazione del Team per il completamento del </w:t>
      </w:r>
      <w:r>
        <w:rPr>
          <w:rFonts w:eastAsia="Times New Roman" w:cs="Calibri" w:cstheme="minorHAnsi"/>
          <w:b/>
          <w:bCs/>
          <w:color w:val="000000"/>
          <w:lang w:eastAsia="it-IT"/>
        </w:rPr>
        <w:t>progetto PoCoMaI, delle credenziali per l’accesso degli ospiti</w:t>
      </w:r>
      <w:r>
        <w:rPr>
          <w:rFonts w:eastAsia="Times New Roman" w:cs="Calibri" w:cstheme="minorHAnsi"/>
          <w:color w:val="000000"/>
          <w:lang w:eastAsia="it-IT"/>
        </w:rPr>
        <w:t xml:space="preserve"> e della </w:t>
      </w:r>
      <w:r>
        <w:rPr>
          <w:rFonts w:eastAsia="Times New Roman" w:cs="Calibri" w:cstheme="minorHAnsi"/>
          <w:b/>
          <w:bCs/>
          <w:color w:val="000000"/>
          <w:lang w:eastAsia="it-IT"/>
        </w:rPr>
        <w:t>locandina</w:t>
      </w:r>
      <w:r>
        <w:rPr>
          <w:rFonts w:eastAsia="Times New Roman" w:cs="Calibri" w:cstheme="minorHAnsi"/>
          <w:color w:val="000000"/>
          <w:lang w:eastAsia="it-IT"/>
        </w:rPr>
        <w:t xml:space="preserve"> dell’evento conclusivo</w:t>
      </w:r>
    </w:p>
    <w:p>
      <w:pPr>
        <w:pStyle w:val="Normal"/>
        <w:numPr>
          <w:ilvl w:val="0"/>
          <w:numId w:val="8"/>
        </w:numPr>
        <w:spacing w:lineRule="auto" w:line="360"/>
        <w:jc w:val="both"/>
        <w:rPr>
          <w:sz w:val="20"/>
          <w:szCs w:val="20"/>
        </w:rPr>
      </w:pPr>
      <w:r>
        <w:rPr>
          <w:rFonts w:eastAsia="Times New Roman" w:cs="Calibri" w:cstheme="minorHAnsi"/>
          <w:color w:val="000000"/>
          <w:lang w:eastAsia="it-IT"/>
        </w:rPr>
        <w:t>Predisposizione della piattaforma per il prossimo anno scolastico</w:t>
      </w:r>
    </w:p>
    <w:p>
      <w:pPr>
        <w:pStyle w:val="Normal"/>
        <w:spacing w:lineRule="auto" w:line="360"/>
        <w:jc w:val="both"/>
        <w:rPr>
          <w:rFonts w:eastAsia="Times New Roman" w:cs="Calibri" w:cstheme="minorHAnsi"/>
          <w:color w:val="000000"/>
          <w:lang w:eastAsia="it-IT"/>
        </w:rPr>
      </w:pPr>
      <w:r>
        <w:rPr>
          <w:rFonts w:eastAsia="Times New Roman" w:cs="Calibri" w:cstheme="minorHAnsi"/>
          <w:color w:val="000000"/>
          <w:lang w:eastAsia="it-IT"/>
        </w:rPr>
      </w:r>
    </w:p>
    <w:p>
      <w:pPr>
        <w:pStyle w:val="Normal"/>
        <w:spacing w:lineRule="auto" w:line="360"/>
        <w:jc w:val="center"/>
        <w:rPr>
          <w:b/>
          <w:b/>
          <w:bCs/>
          <w:sz w:val="20"/>
          <w:szCs w:val="20"/>
        </w:rPr>
      </w:pPr>
      <w:r>
        <w:rPr>
          <w:rFonts w:eastAsia="Times New Roman" w:cs="Calibri" w:cstheme="minorHAnsi"/>
          <w:b/>
          <w:bCs/>
          <w:color w:val="000000"/>
          <w:lang w:eastAsia="it-IT"/>
        </w:rPr>
        <w:t>Richieste urgenti ed inderogabili</w:t>
      </w:r>
    </w:p>
    <w:p>
      <w:pPr>
        <w:pStyle w:val="Normal"/>
        <w:numPr>
          <w:ilvl w:val="0"/>
          <w:numId w:val="9"/>
        </w:numPr>
        <w:spacing w:lineRule="auto" w:line="360"/>
        <w:jc w:val="both"/>
        <w:rPr/>
      </w:pPr>
      <w:r>
        <w:rPr>
          <w:rFonts w:eastAsia="Times New Roman" w:cs="Calibri" w:cstheme="minorHAnsi"/>
          <w:b/>
          <w:bCs/>
          <w:color w:val="000000"/>
          <w:lang w:eastAsia="it-IT"/>
        </w:rPr>
        <w:t>Migliorare la connettività a scuola</w:t>
      </w:r>
      <w:r>
        <w:rPr>
          <w:rFonts w:eastAsia="Times New Roman" w:cs="Calibri" w:cstheme="minorHAnsi"/>
          <w:color w:val="000000"/>
          <w:lang w:eastAsia="it-IT"/>
        </w:rPr>
        <w:t xml:space="preserve">, in particolare  in modo da garantire una capacità in upload sufficiente a gestire “stream video” attivati contemporaneamente da tutte le classi dei due plessi  (perché di solito il download nominale delle connessioni è perfino migliore o equivalente all’upload) e, quindi, assicurandosi un contratto con un fornitore/gestore di qualità come, ad esempio, GARR </w:t>
      </w:r>
      <w:hyperlink r:id="rId7">
        <w:r>
          <w:rPr>
            <w:rStyle w:val="CollegamentoInternet"/>
            <w:rFonts w:eastAsia="Times New Roman" w:cs="Calibri" w:cstheme="minorHAnsi"/>
            <w:color w:val="000000"/>
            <w:u w:val="none"/>
            <w:lang w:eastAsia="it-IT"/>
          </w:rPr>
          <w:t>https://www.garr.it/it/comunita/scuola</w:t>
        </w:r>
      </w:hyperlink>
      <w:r>
        <w:rPr>
          <w:rFonts w:eastAsia="Times New Roman" w:cs="Calibri" w:cstheme="minorHAnsi"/>
          <w:color w:val="000000"/>
          <w:lang w:eastAsia="it-IT"/>
        </w:rPr>
        <w:t xml:space="preserve"> che garantisca una connessione simmetrica di 100Mb, soluzione adatta da varie Scuole in Italia.  </w:t>
        <w:br/>
        <w:t>In ogni caso, prima di prendere una decisione per una soluzione di livello inferiore, consultare degli esperti che valutino attentamente le nostre necessità e se ne assumano la responsabilità.</w:t>
      </w:r>
    </w:p>
    <w:p>
      <w:pPr>
        <w:pStyle w:val="Normal"/>
        <w:numPr>
          <w:ilvl w:val="0"/>
          <w:numId w:val="9"/>
        </w:numPr>
        <w:spacing w:lineRule="auto" w:line="360"/>
        <w:jc w:val="both"/>
        <w:rPr/>
      </w:pPr>
      <w:r>
        <w:rPr>
          <w:rFonts w:eastAsia="Times New Roman" w:cs="Calibri" w:cstheme="minorHAnsi"/>
          <w:color w:val="000000"/>
          <w:lang w:eastAsia="it-IT"/>
        </w:rPr>
        <w:t xml:space="preserve">WiFi attivo e funzionante in ciascuna delle aule di entrambi i plessi (risolvendo gli eventuali problemi di copertura con un numero adeguato di </w:t>
      </w:r>
      <w:r>
        <w:rPr>
          <w:rFonts w:eastAsia="Times New Roman" w:cs="Calibri" w:cstheme="minorHAnsi"/>
          <w:i/>
          <w:iCs/>
          <w:color w:val="000000"/>
          <w:lang w:eastAsia="it-IT"/>
        </w:rPr>
        <w:t>access point</w:t>
      </w:r>
      <w:r>
        <w:rPr>
          <w:rFonts w:eastAsia="Times New Roman" w:cs="Calibri" w:cstheme="minorHAnsi"/>
          <w:color w:val="000000"/>
          <w:lang w:eastAsia="it-IT"/>
        </w:rPr>
        <w:t>) in modo da supportare la connessione di tutti gli studenti di ciascuna classe contemporaneamente anche con tablet o altri device personali</w:t>
      </w:r>
    </w:p>
    <w:p>
      <w:pPr>
        <w:pStyle w:val="Normal"/>
        <w:spacing w:before="0" w:after="165"/>
        <w:rPr>
          <w:rFonts w:ascii="titilliumweb-r" w:hAnsi="titilliumweb-r" w:eastAsia="Times New Roman" w:cs="Times New Roman"/>
          <w:color w:val="000000"/>
          <w:lang w:eastAsia="it-IT"/>
        </w:rPr>
      </w:pPr>
      <w:r>
        <w:rPr>
          <w:rFonts w:eastAsia="Times New Roman" w:cs="Times New Roman"/>
          <w:color w:val="000000"/>
          <w:lang w:eastAsia="it-IT"/>
        </w:rPr>
        <w:t>Quarto, lì 30/06/2020</w:t>
        <w:tab/>
        <w:t xml:space="preserve">                                                                       L’Animatore Digitale</w:t>
      </w:r>
    </w:p>
    <w:p>
      <w:pPr>
        <w:pStyle w:val="Normal"/>
        <w:spacing w:before="0" w:after="165"/>
        <w:rPr>
          <w:rFonts w:ascii="titilliumweb-r" w:hAnsi="titilliumweb-r" w:eastAsia="Times New Roman" w:cs="Times New Roman"/>
          <w:color w:val="000000"/>
          <w:lang w:eastAsia="it-IT"/>
        </w:rPr>
      </w:pPr>
      <w:r>
        <w:rPr>
          <w:rFonts w:eastAsia="Times New Roman" w:cs="Times New Roman"/>
          <w:color w:val="000000"/>
          <w:lang w:eastAsia="it-IT"/>
        </w:rPr>
        <w:tab/>
        <w:tab/>
        <w:tab/>
        <w:tab/>
        <w:tab/>
        <w:tab/>
        <w:tab/>
        <w:tab/>
        <w:t>prof.ssa Adriana D. L. Alonge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erif">
    <w:altName w:val="Times New Roman"/>
    <w:charset w:val="00"/>
    <w:family w:val="swiss"/>
    <w:pitch w:val="variable"/>
  </w:font>
  <w:font w:name="OpenSymbol">
    <w:altName w:val="Arial Unicode MS"/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titilliumweb-r"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Titolo2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rFonts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rFonts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rFonts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rFonts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rFonts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rFonts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rFonts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rFonts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hyphenationZone w:val="283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Cs w:val="24"/>
        <w:lang w:val="it-IT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it-IT" w:eastAsia="zh-CN" w:bidi="hi-IN"/>
    </w:rPr>
  </w:style>
  <w:style w:type="paragraph" w:styleId="Titolo2">
    <w:name w:val="Heading 2"/>
    <w:basedOn w:val="Titoloprincipale"/>
    <w:next w:val="Corpodeltesto"/>
    <w:qFormat/>
    <w:pPr>
      <w:numPr>
        <w:ilvl w:val="1"/>
        <w:numId w:val="1"/>
      </w:numPr>
      <w:spacing w:before="200" w:after="120"/>
      <w:outlineLvl w:val="1"/>
    </w:pPr>
    <w:rPr>
      <w:rFonts w:ascii="Liberation Serif" w:hAnsi="Liberation Serif" w:eastAsia="NSimSun"/>
      <w:b/>
      <w:bCs/>
      <w:sz w:val="36"/>
      <w:szCs w:val="3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fasiforte" w:customStyle="1">
    <w:name w:val="Enfasi forte"/>
    <w:qFormat/>
    <w:rPr>
      <w:b/>
      <w:bCs/>
    </w:rPr>
  </w:style>
  <w:style w:type="character" w:styleId="Punti" w:customStyle="1">
    <w:name w:val="Punti"/>
    <w:qFormat/>
    <w:rPr>
      <w:rFonts w:ascii="OpenSymbol" w:hAnsi="OpenSymbol" w:eastAsia="OpenSymbol" w:cs="OpenSymbol"/>
    </w:rPr>
  </w:style>
  <w:style w:type="character" w:styleId="Caratteridinumerazione" w:customStyle="1">
    <w:name w:val="Caratteri di numerazione"/>
    <w:qFormat/>
    <w:rPr/>
  </w:style>
  <w:style w:type="character" w:styleId="Strong">
    <w:name w:val="Strong"/>
    <w:basedOn w:val="DefaultParagraphFont"/>
    <w:qFormat/>
    <w:rPr>
      <w:b/>
      <w:bCs/>
    </w:rPr>
  </w:style>
  <w:style w:type="character" w:styleId="CollegamentoInternet" w:customStyle="1">
    <w:name w:val="Collegamento Internet"/>
    <w:rPr>
      <w:color w:val="000080"/>
      <w:u w:val="single"/>
    </w:rPr>
  </w:style>
  <w:style w:type="character" w:styleId="Enfasi" w:customStyle="1">
    <w:name w:val="Enfasi"/>
    <w:qFormat/>
    <w:rPr>
      <w:i/>
      <w:iCs/>
    </w:rPr>
  </w:style>
  <w:style w:type="character" w:styleId="TestofumettoCarattere" w:customStyle="1">
    <w:name w:val="Testo fumetto Carattere"/>
    <w:basedOn w:val="DefaultParagraphFont"/>
    <w:link w:val="Testofumetto"/>
    <w:uiPriority w:val="99"/>
    <w:semiHidden/>
    <w:qFormat/>
    <w:rsid w:val="00e84256"/>
    <w:rPr>
      <w:rFonts w:ascii="Segoe UI" w:hAnsi="Segoe UI" w:cs="Mangal"/>
      <w:sz w:val="18"/>
      <w:szCs w:val="16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/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 w:customStyle="1">
    <w:name w:val="Indice"/>
    <w:basedOn w:val="Normal"/>
    <w:qFormat/>
    <w:pPr>
      <w:suppressLineNumbers/>
    </w:pPr>
    <w:rPr/>
  </w:style>
  <w:style w:type="paragraph" w:styleId="Titoloprincipale">
    <w:name w:val="Title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NormalWeb">
    <w:name w:val="Normal (Web)"/>
    <w:basedOn w:val="Normal"/>
    <w:qFormat/>
    <w:pPr>
      <w:spacing w:beforeAutospacing="1" w:afterAutospacing="1"/>
    </w:pPr>
    <w:rPr>
      <w:rFonts w:ascii="Times New Roman" w:hAnsi="Times New Roman" w:eastAsia="Times New Roman" w:cs="Times New Roman"/>
      <w:lang w:eastAsia="it-IT"/>
    </w:rPr>
  </w:style>
  <w:style w:type="paragraph" w:styleId="ListParagraph">
    <w:name w:val="List Paragraph"/>
    <w:basedOn w:val="Normal"/>
    <w:qFormat/>
    <w:pPr>
      <w:spacing w:before="0" w:after="200"/>
      <w:ind w:left="720" w:hanging="0"/>
      <w:contextualSpacing/>
    </w:pPr>
    <w:rPr/>
  </w:style>
  <w:style w:type="paragraph" w:styleId="Contenutoelenco" w:customStyle="1">
    <w:name w:val="Contenuto elenco"/>
    <w:basedOn w:val="Normal"/>
    <w:qFormat/>
    <w:pPr>
      <w:ind w:left="567" w:hanging="0"/>
    </w:pPr>
    <w:rPr/>
  </w:style>
  <w:style w:type="paragraph" w:styleId="Titoloelenco" w:customStyle="1">
    <w:name w:val="Titolo elenco"/>
    <w:basedOn w:val="Normal"/>
    <w:next w:val="Contenutoelenco"/>
    <w:qFormat/>
    <w:pPr/>
    <w:rPr/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e84256"/>
    <w:pPr/>
    <w:rPr>
      <w:rFonts w:ascii="Segoe UI" w:hAnsi="Segoe UI" w:cs="Mangal"/>
      <w:sz w:val="18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s://www.isisquarto.edu.it/attachments/article/2187/manifesto orientamento 70_100.pdf" TargetMode="External"/><Relationship Id="rId4" Type="http://schemas.openxmlformats.org/officeDocument/2006/relationships/hyperlink" Target="https://www.isisquarto.edu.it/attachments/article/2187/Link alla versione sfogliabile della nuova brochure della Scuola.pdf" TargetMode="External"/><Relationship Id="rId5" Type="http://schemas.openxmlformats.org/officeDocument/2006/relationships/hyperlink" Target="https://www.isisquarto.edu.it/attachments/article/2187/Roll up_orientamento.pdf" TargetMode="External"/><Relationship Id="rId6" Type="http://schemas.openxmlformats.org/officeDocument/2006/relationships/hyperlink" Target="https://www.isisquarto.edu.it/attachments/article/2187/brochure_versione_finale.pdf" TargetMode="External"/><Relationship Id="rId7" Type="http://schemas.openxmlformats.org/officeDocument/2006/relationships/hyperlink" Target="https://www.garr.it/it/comunita/scuola" TargetMode="Externa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Application>LibreOffice/6.4.2.2$Windows_X86_64 LibreOffice_project/4e471d8c02c9c90f512f7f9ead8875b57fcb1ec3</Application>
  <Pages>3</Pages>
  <Words>1095</Words>
  <Characters>6336</Characters>
  <CharactersWithSpaces>7482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2020-06-29T10:57:00Z</dcterms:created>
  <dc:creator/>
  <dc:description/>
  <dc:language>it-IT</dc:language>
  <cp:lastModifiedBy/>
  <cp:lastPrinted>2020-06-30T11:35:00Z</cp:lastPrinted>
  <dcterms:modified xsi:type="dcterms:W3CDTF">2020-06-30T18:38:13Z</dcterms:modified>
  <cp:revision>24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